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Информация об условиях кредитов КНР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Коммерческая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кредитная линия </w:t>
      </w:r>
      <w:proofErr w:type="spellStart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Эксимбанка</w:t>
      </w:r>
      <w:proofErr w:type="spellEnd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Китая для финансирования малых и средних предприятий на территории Беларуси.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gramStart"/>
      <w:r w:rsidRPr="00384724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u w:val="single"/>
          <w:lang w:eastAsia="ru-RU"/>
        </w:rPr>
        <w:t>Условия кредитной линии: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  <w:t xml:space="preserve">банк-оператор - ОАО «АСБ </w:t>
      </w:r>
      <w:proofErr w:type="spellStart"/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Беларусбанк</w:t>
      </w:r>
      <w:proofErr w:type="spellEnd"/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»;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  <w:t>валюта - доллар США;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  <w:t>процентная ставка - фиксированная, 3,95% годовых; срок - 3 года;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  <w:t>погашение - единовременно в конце срока кредита; 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</w:r>
      <w:hyperlink r:id="rId5" w:history="1">
        <w:r w:rsidRPr="00384724">
          <w:rPr>
            <w:rFonts w:ascii="Helvetica" w:eastAsia="Times New Roman" w:hAnsi="Helvetica" w:cs="Times New Roman"/>
            <w:b/>
            <w:bCs/>
            <w:i/>
            <w:iCs/>
            <w:color w:val="337AB7"/>
            <w:lang w:eastAsia="ru-RU"/>
          </w:rPr>
          <w:t>эффективная процентная ставка</w:t>
        </w:r>
      </w:hyperlink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</w:t>
      </w:r>
      <w:r w:rsidRPr="00384724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>- 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4,2% (без учета маржи банка-оператора);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  <w:t>маржа банка-оператора к процентной ставке - не более 2,0% годовых;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  <w:t>требование по китайской составляющей: не менее 15% от общей суммы кредитуемых СМР;</w:t>
      </w:r>
      <w:proofErr w:type="gramEnd"/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 xml:space="preserve"> 50% от общей суммы кредитуемых оборудования /материалов;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br/>
        <w:t>доля финансирования: до 85% от стоимости коммерческого контракта.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Более масштабные и долгосрочные проекты малого и среднего бизнеса предлагается финансировать за счет </w:t>
      </w: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кредитной линии Банка развития Китая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 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Банком развития Китая заключены генеральные кредитные соглашения с двумя белорусскими банками о предоставлении кредитных линий - </w:t>
      </w: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с </w:t>
      </w:r>
      <w:proofErr w:type="spellStart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Беларусбанком</w:t>
      </w:r>
      <w:proofErr w:type="spellEnd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 и с Банком развития Беларуси.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u w:val="single"/>
          <w:lang w:eastAsia="ru-RU"/>
        </w:rPr>
        <w:t>Условия предоставления кредитных линий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: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срок кредитования — 15 лет, в том числе льготный период 5 лет;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процентная ставка - Либор 6 мес.+4% годовых (на 10.11.2015 -4,6% годовых);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средняя </w:t>
      </w:r>
      <w:hyperlink r:id="rId6" w:history="1">
        <w:r w:rsidRPr="00384724">
          <w:rPr>
            <w:rFonts w:ascii="Helvetica" w:eastAsia="Times New Roman" w:hAnsi="Helvetica" w:cs="Times New Roman"/>
            <w:i/>
            <w:iCs/>
            <w:color w:val="337AB7"/>
            <w:lang w:eastAsia="ru-RU"/>
          </w:rPr>
          <w:t>эффективная процентная ставка</w:t>
        </w:r>
      </w:hyperlink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- 4,9% на 01.10.2015 (без учета маржи белорусских банков).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Минимальная сумма одного кредита или пакета кредитов для направления в Банк развития Китая для одобрения 1 млн. долл. США.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Минимальный размер китайской составляющей: - 50% от всех одобренных Банком кредитов в каждом календарном году.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Достигнуто согласие о выделении в рамках кредитной линии, открытой </w:t>
      </w:r>
      <w:proofErr w:type="gramStart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для</w:t>
      </w:r>
      <w:proofErr w:type="gramEnd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Беларусбанка</w:t>
      </w:r>
      <w:proofErr w:type="spellEnd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, части ресурсов </w:t>
      </w: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u w:val="single"/>
          <w:lang w:eastAsia="ru-RU"/>
        </w:rPr>
        <w:t>на следующих условиях:</w:t>
      </w: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срок кредитования - 15 лет, в том числе льготный период 5 лет;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hyperlink r:id="rId7" w:history="1">
        <w:r w:rsidRPr="00384724">
          <w:rPr>
            <w:rFonts w:ascii="Helvetica" w:eastAsia="Times New Roman" w:hAnsi="Helvetica" w:cs="Times New Roman"/>
            <w:i/>
            <w:iCs/>
            <w:color w:val="337AB7"/>
            <w:lang w:eastAsia="ru-RU"/>
          </w:rPr>
          <w:t>эффективная процентная ставка</w:t>
        </w:r>
      </w:hyperlink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- 4,8% (без учета маржи белорусского банка);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минимальная сумма одного кредита — 0,3 млн. долл. США; срок одобрения проектов Банком развития Китая - 1 месяц.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Льготные кредитные ресурсы КНР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1. В долларах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 xml:space="preserve">С </w:t>
      </w:r>
      <w:proofErr w:type="spellStart"/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Эксимбанком</w:t>
      </w:r>
      <w:proofErr w:type="spellEnd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зафиксированы 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ru-RU"/>
        </w:rPr>
        <w:t>условия привлечения льготных покупательских кредитов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валюта: доллар США;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процентная ставка: фиксированная, не менее 2% годовых;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срок: до 15-20 лет;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льготный период: до 5-7 лет;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hyperlink r:id="rId8" w:history="1">
        <w:r w:rsidRPr="00384724">
          <w:rPr>
            <w:rFonts w:ascii="Helvetica" w:eastAsia="Times New Roman" w:hAnsi="Helvetica" w:cs="Times New Roman"/>
            <w:i/>
            <w:iCs/>
            <w:color w:val="337AB7"/>
            <w:lang w:eastAsia="ru-RU"/>
          </w:rPr>
          <w:t>эффективная процентная ставка</w:t>
        </w:r>
      </w:hyperlink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(далее - ЭПС): 2,1%;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u w:val="single"/>
          <w:lang w:eastAsia="ru-RU"/>
        </w:rPr>
        <w:t>доля финансирования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: 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u w:val="single"/>
          <w:lang w:eastAsia="ru-RU"/>
        </w:rPr>
        <w:t>до 85%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от стоимости коммерческого контракта (без учета НДС и таможенных пошлин).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 xml:space="preserve">Размер китайской составляющей будет согласовываться белорусской стороной с </w:t>
      </w:r>
      <w:proofErr w:type="spellStart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Минкоммерции</w:t>
      </w:r>
      <w:proofErr w:type="spellEnd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Китая индивидуально по каждому проекту. 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Льготные покупательские кредиты предоставляются для реализации исключительно новых проектов.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 xml:space="preserve">Генподрядчиком по кредитуемому проекту должна быть китайская компания, выбранная на конкурсе из предварительно рекомендованного </w:t>
      </w:r>
      <w:proofErr w:type="spellStart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Минкоммерции</w:t>
      </w:r>
      <w:proofErr w:type="spellEnd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перечня.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Сумма кредита должна составлять не менее 20 млн. долл. США.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2. В юанях</w:t>
      </w:r>
    </w:p>
    <w:p w:rsidR="00384724" w:rsidRPr="00384724" w:rsidRDefault="00384724" w:rsidP="00384724">
      <w:pPr>
        <w:shd w:val="clear" w:color="auto" w:fill="EFF3F6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Условия выделения </w:t>
      </w:r>
      <w:proofErr w:type="spellStart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юаневых</w:t>
      </w:r>
      <w:proofErr w:type="spellEnd"/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кредитов аналогичны условиям льготных покупательских кредитов в долларах США.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proofErr w:type="gramStart"/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u w:val="single"/>
          <w:lang w:eastAsia="ru-RU"/>
        </w:rPr>
        <w:lastRenderedPageBreak/>
        <w:t>Условия льготных правительственных кредитов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: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валюта: китайский юань;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процентная ставка: фиксированная, 2% годовых;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срок: до 15-20 лет;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льготный период: до 5-7лет;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комиссия за обязательство: 0,25% годовых;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комиссия за организацию: 0,25%;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ЭПС:2,1%;</w:t>
      </w:r>
      <w:r w:rsidRPr="00384724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u w:val="single"/>
          <w:lang w:eastAsia="ru-RU"/>
        </w:rPr>
        <w:t>доля финансирования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: 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u w:val="single"/>
          <w:lang w:eastAsia="ru-RU"/>
        </w:rPr>
        <w:t>до 100%</w:t>
      </w:r>
      <w:r w:rsidRPr="00384724">
        <w:rPr>
          <w:rFonts w:ascii="Helvetica" w:eastAsia="Times New Roman" w:hAnsi="Helvetica" w:cs="Times New Roman"/>
          <w:i/>
          <w:iCs/>
          <w:color w:val="333333"/>
          <w:sz w:val="21"/>
          <w:szCs w:val="21"/>
          <w:lang w:eastAsia="ru-RU"/>
        </w:rPr>
        <w:t> от стоимости коммерческого контракта.</w:t>
      </w:r>
      <w:proofErr w:type="gramEnd"/>
    </w:p>
    <w:p w:rsidR="00384724" w:rsidRPr="00384724" w:rsidRDefault="00384724" w:rsidP="00384724">
      <w:pPr>
        <w:shd w:val="clear" w:color="auto" w:fill="EFF3F6"/>
        <w:spacing w:after="150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384724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УСЛОВИЯ ПРИВЛЕЧЕНИЯ КИТАЙСКИХ КРЕДИТОВ (отдельные линии)</w:t>
      </w:r>
    </w:p>
    <w:tbl>
      <w:tblPr>
        <w:tblW w:w="10632" w:type="dxa"/>
        <w:tblInd w:w="-873" w:type="dxa"/>
        <w:shd w:val="clear" w:color="auto" w:fill="EFF3F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9"/>
        <w:gridCol w:w="1244"/>
        <w:gridCol w:w="1417"/>
        <w:gridCol w:w="1415"/>
        <w:gridCol w:w="1562"/>
        <w:gridCol w:w="1276"/>
        <w:gridCol w:w="1559"/>
      </w:tblGrid>
      <w:tr w:rsidR="00384724" w:rsidRPr="00384724" w:rsidTr="00384724">
        <w:tc>
          <w:tcPr>
            <w:tcW w:w="2159" w:type="dxa"/>
            <w:vMerge w:val="restart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Показатели</w:t>
            </w:r>
          </w:p>
        </w:tc>
        <w:tc>
          <w:tcPr>
            <w:tcW w:w="266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Генеральное кредитное соглашение о предоставлении льготного покупательского кредита</w:t>
            </w:r>
          </w:p>
        </w:tc>
        <w:tc>
          <w:tcPr>
            <w:tcW w:w="29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Генеральное кредитное соглашение о предоставлении покупательского кредита под гарантии Правительства</w:t>
            </w:r>
          </w:p>
        </w:tc>
        <w:tc>
          <w:tcPr>
            <w:tcW w:w="2835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Индикативные условия по новым кредитам</w:t>
            </w:r>
          </w:p>
        </w:tc>
      </w:tr>
      <w:tr w:rsidR="00384724" w:rsidRPr="00384724" w:rsidTr="00384724">
        <w:tc>
          <w:tcPr>
            <w:tcW w:w="2159" w:type="dxa"/>
            <w:vMerge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  <w:hideMark/>
          </w:tcPr>
          <w:p w:rsidR="00384724" w:rsidRPr="00384724" w:rsidRDefault="00384724" w:rsidP="00384724">
            <w:pPr>
              <w:spacing w:after="0" w:line="240" w:lineRule="auto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</w:p>
        </w:tc>
        <w:tc>
          <w:tcPr>
            <w:tcW w:w="124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от 7 июня 2010 г.</w:t>
            </w:r>
          </w:p>
        </w:tc>
        <w:tc>
          <w:tcPr>
            <w:tcW w:w="14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от 7 ноября 2011 г.</w:t>
            </w:r>
          </w:p>
        </w:tc>
        <w:tc>
          <w:tcPr>
            <w:tcW w:w="141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от 10 мая 2015 г.</w:t>
            </w:r>
          </w:p>
        </w:tc>
        <w:tc>
          <w:tcPr>
            <w:tcW w:w="156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от 10 мая 2015 г.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по льготным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515151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84724" w:rsidRPr="00384724" w:rsidRDefault="00384724" w:rsidP="00384724">
            <w:pPr>
              <w:spacing w:after="30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b/>
                <w:bCs/>
                <w:color w:val="FFFFFF"/>
                <w:sz w:val="23"/>
                <w:szCs w:val="23"/>
                <w:lang w:eastAsia="ru-RU"/>
              </w:rPr>
              <w:t>по коммерческим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Займодавец</w:t>
            </w:r>
          </w:p>
        </w:tc>
        <w:tc>
          <w:tcPr>
            <w:tcW w:w="266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Экспортно-импортный банк Китая</w:t>
            </w:r>
          </w:p>
        </w:tc>
        <w:tc>
          <w:tcPr>
            <w:tcW w:w="29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Государственный банк развития Китая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Заемщик</w:t>
            </w:r>
          </w:p>
        </w:tc>
        <w:tc>
          <w:tcPr>
            <w:tcW w:w="266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Правительство Республики Беларусь (в лице Минфина)</w:t>
            </w:r>
          </w:p>
        </w:tc>
        <w:tc>
          <w:tcPr>
            <w:tcW w:w="141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ОАО «Банк развития Республики Беларусь»</w:t>
            </w:r>
          </w:p>
        </w:tc>
        <w:tc>
          <w:tcPr>
            <w:tcW w:w="156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ОАО «АСБ </w:t>
            </w:r>
            <w:proofErr w:type="spellStart"/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Беларусбанк</w:t>
            </w:r>
            <w:proofErr w:type="spellEnd"/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Неиспользованный остаток, млн. долл. США</w:t>
            </w:r>
          </w:p>
        </w:tc>
        <w:tc>
          <w:tcPr>
            <w:tcW w:w="124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415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156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Срок кредита/льготный период, лет</w:t>
            </w:r>
          </w:p>
        </w:tc>
        <w:tc>
          <w:tcPr>
            <w:tcW w:w="2661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15/5</w:t>
            </w:r>
          </w:p>
        </w:tc>
        <w:tc>
          <w:tcPr>
            <w:tcW w:w="29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15/5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20/10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20/10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Ставка, % </w:t>
            </w:r>
            <w:proofErr w:type="gramStart"/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годовых</w:t>
            </w:r>
            <w:proofErr w:type="gramEnd"/>
          </w:p>
        </w:tc>
        <w:tc>
          <w:tcPr>
            <w:tcW w:w="124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3 фиксированная</w:t>
            </w:r>
          </w:p>
        </w:tc>
        <w:tc>
          <w:tcPr>
            <w:tcW w:w="14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 фиксированная</w:t>
            </w:r>
          </w:p>
        </w:tc>
        <w:tc>
          <w:tcPr>
            <w:tcW w:w="29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шестимесячная ставка LIBOR + маржа банка КНР + маржа белорусского банка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 фиксированная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шестимесячная ставка LIBOR + 3 % (маржа китайского банка)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 xml:space="preserve">Эффективная процентная ставка </w:t>
            </w: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lastRenderedPageBreak/>
              <w:t xml:space="preserve">для конечного пользователя, % </w:t>
            </w:r>
            <w:proofErr w:type="gramStart"/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годовых</w:t>
            </w:r>
            <w:proofErr w:type="gramEnd"/>
          </w:p>
        </w:tc>
        <w:tc>
          <w:tcPr>
            <w:tcW w:w="124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lastRenderedPageBreak/>
              <w:t>3,2</w:t>
            </w:r>
          </w:p>
        </w:tc>
        <w:tc>
          <w:tcPr>
            <w:tcW w:w="14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2,2</w:t>
            </w:r>
          </w:p>
        </w:tc>
        <w:tc>
          <w:tcPr>
            <w:tcW w:w="29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6,7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lastRenderedPageBreak/>
              <w:t>Китайская составляющая в проекте («связанность», % от стоимости контракта (без НДС)</w:t>
            </w:r>
            <w:proofErr w:type="gramEnd"/>
          </w:p>
        </w:tc>
        <w:tc>
          <w:tcPr>
            <w:tcW w:w="124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менее 50</w:t>
            </w:r>
          </w:p>
        </w:tc>
        <w:tc>
          <w:tcPr>
            <w:tcW w:w="14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менее 50</w:t>
            </w:r>
          </w:p>
        </w:tc>
        <w:tc>
          <w:tcPr>
            <w:tcW w:w="29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менее 50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до 0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DED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более 30</w:t>
            </w:r>
          </w:p>
        </w:tc>
      </w:tr>
      <w:tr w:rsidR="00384724" w:rsidRPr="00384724" w:rsidTr="00384724">
        <w:tc>
          <w:tcPr>
            <w:tcW w:w="21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4E4E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Финансируемая часть контракта, % от стоимости контракта (без НДС)</w:t>
            </w:r>
          </w:p>
        </w:tc>
        <w:tc>
          <w:tcPr>
            <w:tcW w:w="124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4E4E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более 85</w:t>
            </w:r>
          </w:p>
        </w:tc>
        <w:tc>
          <w:tcPr>
            <w:tcW w:w="14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4E4E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более 95</w:t>
            </w:r>
          </w:p>
        </w:tc>
        <w:tc>
          <w:tcPr>
            <w:tcW w:w="2977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4E4E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более 85</w:t>
            </w:r>
          </w:p>
        </w:tc>
        <w:tc>
          <w:tcPr>
            <w:tcW w:w="1276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4E4E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менее 95</w:t>
            </w:r>
          </w:p>
        </w:tc>
        <w:tc>
          <w:tcPr>
            <w:tcW w:w="1559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E4E4E4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84724" w:rsidRPr="00384724" w:rsidRDefault="00384724" w:rsidP="00384724">
            <w:pPr>
              <w:spacing w:after="300" w:line="240" w:lineRule="auto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</w:pPr>
            <w:r w:rsidRPr="00384724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ru-RU"/>
              </w:rPr>
              <w:t>не менее 85</w:t>
            </w:r>
          </w:p>
        </w:tc>
      </w:tr>
    </w:tbl>
    <w:bookmarkStart w:id="0" w:name="_GoBack"/>
    <w:p w:rsidR="0016085B" w:rsidRPr="005600A0" w:rsidRDefault="005600A0">
      <w:pPr>
        <w:rPr>
          <w:color w:val="FF0000"/>
          <w:sz w:val="64"/>
          <w:szCs w:val="64"/>
        </w:rPr>
      </w:pPr>
      <w:r w:rsidRPr="005600A0">
        <w:rPr>
          <w:color w:val="FF0000"/>
          <w:sz w:val="64"/>
          <w:szCs w:val="64"/>
        </w:rPr>
        <w:fldChar w:fldCharType="begin"/>
      </w:r>
      <w:r w:rsidRPr="005600A0">
        <w:rPr>
          <w:color w:val="FF0000"/>
          <w:sz w:val="64"/>
          <w:szCs w:val="64"/>
        </w:rPr>
        <w:instrText xml:space="preserve"> HYPERLINK "http://khotimsk.gov.by/invest/itemlist/category/169-kitajskie-kredity" </w:instrText>
      </w:r>
      <w:r w:rsidRPr="005600A0">
        <w:rPr>
          <w:color w:val="FF0000"/>
          <w:sz w:val="64"/>
          <w:szCs w:val="64"/>
        </w:rPr>
        <w:fldChar w:fldCharType="separate"/>
      </w:r>
      <w:r w:rsidR="003D5952" w:rsidRPr="005600A0">
        <w:rPr>
          <w:rStyle w:val="a3"/>
          <w:color w:val="FF0000"/>
          <w:sz w:val="64"/>
          <w:szCs w:val="64"/>
        </w:rPr>
        <w:t>http://khotimsk.gov.by/invest/itemlist/category/169-kitajskie-kredity</w:t>
      </w:r>
      <w:r w:rsidRPr="005600A0">
        <w:rPr>
          <w:rStyle w:val="a3"/>
          <w:color w:val="FF0000"/>
          <w:sz w:val="64"/>
          <w:szCs w:val="64"/>
        </w:rPr>
        <w:fldChar w:fldCharType="end"/>
      </w:r>
      <w:bookmarkEnd w:id="0"/>
    </w:p>
    <w:sectPr w:rsidR="0016085B" w:rsidRPr="00560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724"/>
    <w:rsid w:val="00001B2F"/>
    <w:rsid w:val="0000707A"/>
    <w:rsid w:val="00011752"/>
    <w:rsid w:val="00031362"/>
    <w:rsid w:val="0003708A"/>
    <w:rsid w:val="00047192"/>
    <w:rsid w:val="00055738"/>
    <w:rsid w:val="000722C4"/>
    <w:rsid w:val="00077642"/>
    <w:rsid w:val="000848A9"/>
    <w:rsid w:val="00091B09"/>
    <w:rsid w:val="000B3822"/>
    <w:rsid w:val="000C417F"/>
    <w:rsid w:val="001032B5"/>
    <w:rsid w:val="001161B9"/>
    <w:rsid w:val="00143EDC"/>
    <w:rsid w:val="00153606"/>
    <w:rsid w:val="0016085B"/>
    <w:rsid w:val="001618DB"/>
    <w:rsid w:val="0018756D"/>
    <w:rsid w:val="00187830"/>
    <w:rsid w:val="001D6EEB"/>
    <w:rsid w:val="001E4381"/>
    <w:rsid w:val="00221242"/>
    <w:rsid w:val="00240F12"/>
    <w:rsid w:val="002435EF"/>
    <w:rsid w:val="00280483"/>
    <w:rsid w:val="00281AE9"/>
    <w:rsid w:val="0029527C"/>
    <w:rsid w:val="00295301"/>
    <w:rsid w:val="002F251B"/>
    <w:rsid w:val="003127B6"/>
    <w:rsid w:val="00344F1B"/>
    <w:rsid w:val="00384724"/>
    <w:rsid w:val="003B096F"/>
    <w:rsid w:val="003C092F"/>
    <w:rsid w:val="003D5952"/>
    <w:rsid w:val="003E31DD"/>
    <w:rsid w:val="00401D12"/>
    <w:rsid w:val="00424631"/>
    <w:rsid w:val="004A3ED0"/>
    <w:rsid w:val="004B07F8"/>
    <w:rsid w:val="004B0E40"/>
    <w:rsid w:val="004D00A6"/>
    <w:rsid w:val="004E1E17"/>
    <w:rsid w:val="004F6D68"/>
    <w:rsid w:val="00501C43"/>
    <w:rsid w:val="00525AD4"/>
    <w:rsid w:val="0053591C"/>
    <w:rsid w:val="005515CF"/>
    <w:rsid w:val="005600A0"/>
    <w:rsid w:val="00584C72"/>
    <w:rsid w:val="0058693F"/>
    <w:rsid w:val="005C58BE"/>
    <w:rsid w:val="005D2F6E"/>
    <w:rsid w:val="00602E7F"/>
    <w:rsid w:val="00606F9E"/>
    <w:rsid w:val="0060758C"/>
    <w:rsid w:val="00613CE8"/>
    <w:rsid w:val="006230F7"/>
    <w:rsid w:val="006332FF"/>
    <w:rsid w:val="00636C8A"/>
    <w:rsid w:val="00670AAE"/>
    <w:rsid w:val="00685B5B"/>
    <w:rsid w:val="006B21A4"/>
    <w:rsid w:val="006E7A5D"/>
    <w:rsid w:val="007C7D92"/>
    <w:rsid w:val="007D39C7"/>
    <w:rsid w:val="0080685F"/>
    <w:rsid w:val="00826655"/>
    <w:rsid w:val="00897A38"/>
    <w:rsid w:val="008C1074"/>
    <w:rsid w:val="008E0686"/>
    <w:rsid w:val="008E78CB"/>
    <w:rsid w:val="00910714"/>
    <w:rsid w:val="009245C4"/>
    <w:rsid w:val="00932A01"/>
    <w:rsid w:val="009540B8"/>
    <w:rsid w:val="0095606C"/>
    <w:rsid w:val="00960298"/>
    <w:rsid w:val="00982CCE"/>
    <w:rsid w:val="00982E01"/>
    <w:rsid w:val="00983CA9"/>
    <w:rsid w:val="009A178D"/>
    <w:rsid w:val="009D15AF"/>
    <w:rsid w:val="009E2DA0"/>
    <w:rsid w:val="009E5158"/>
    <w:rsid w:val="00A1417F"/>
    <w:rsid w:val="00A20B7D"/>
    <w:rsid w:val="00A24EBE"/>
    <w:rsid w:val="00A25070"/>
    <w:rsid w:val="00A512F7"/>
    <w:rsid w:val="00AC2106"/>
    <w:rsid w:val="00AD1A78"/>
    <w:rsid w:val="00B14134"/>
    <w:rsid w:val="00B214E6"/>
    <w:rsid w:val="00B23997"/>
    <w:rsid w:val="00B54D6C"/>
    <w:rsid w:val="00B835C3"/>
    <w:rsid w:val="00BE3F2A"/>
    <w:rsid w:val="00C56D80"/>
    <w:rsid w:val="00C7338B"/>
    <w:rsid w:val="00C73FBF"/>
    <w:rsid w:val="00CD5970"/>
    <w:rsid w:val="00CF018C"/>
    <w:rsid w:val="00CF0900"/>
    <w:rsid w:val="00D5613B"/>
    <w:rsid w:val="00D57EC0"/>
    <w:rsid w:val="00D66757"/>
    <w:rsid w:val="00D66A0C"/>
    <w:rsid w:val="00DB179E"/>
    <w:rsid w:val="00DB7F31"/>
    <w:rsid w:val="00DC5335"/>
    <w:rsid w:val="00E02A9B"/>
    <w:rsid w:val="00E50677"/>
    <w:rsid w:val="00E55C49"/>
    <w:rsid w:val="00E65274"/>
    <w:rsid w:val="00E91097"/>
    <w:rsid w:val="00E96E2D"/>
    <w:rsid w:val="00EB2441"/>
    <w:rsid w:val="00EC1B6C"/>
    <w:rsid w:val="00EC4F49"/>
    <w:rsid w:val="00EC6958"/>
    <w:rsid w:val="00ED356A"/>
    <w:rsid w:val="00EE7673"/>
    <w:rsid w:val="00EF0002"/>
    <w:rsid w:val="00F30431"/>
    <w:rsid w:val="00F30CF4"/>
    <w:rsid w:val="00F54A0C"/>
    <w:rsid w:val="00FA3A54"/>
    <w:rsid w:val="00FB740D"/>
    <w:rsid w:val="00FE3E60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59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59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otimsk.gov.by/dfiles/000447_766963_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hotimsk.gov.by/dfiles/000447_766963_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hotimsk.gov.by/dfiles/000447_766963_.doc" TargetMode="External"/><Relationship Id="rId5" Type="http://schemas.openxmlformats.org/officeDocument/2006/relationships/hyperlink" Target="http://khotimsk.gov.by/dfiles/000447_766963_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Кухлевская Анна Викторовеа</dc:creator>
  <cp:lastModifiedBy>Кухлевская Анна Викторовеа</cp:lastModifiedBy>
  <cp:revision>3</cp:revision>
  <dcterms:created xsi:type="dcterms:W3CDTF">2019-05-11T09:06:00Z</dcterms:created>
  <dcterms:modified xsi:type="dcterms:W3CDTF">2020-02-03T13:21:00Z</dcterms:modified>
</cp:coreProperties>
</file>